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5C806">
      <w:pPr>
        <w:spacing w:line="600" w:lineRule="exac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 w14:paraId="0ACE7F0A">
      <w:pPr>
        <w:jc w:val="center"/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</w:pP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  <w:t>年度</w:t>
      </w:r>
      <w:r>
        <w:rPr>
          <w:rFonts w:hint="eastAsia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  <w:t>湘潭市工业贸易中等专业学校</w:t>
      </w:r>
      <w:r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  <w:t>部门整体支出绩效自评报告</w:t>
      </w:r>
    </w:p>
    <w:p w14:paraId="5296AC1C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1A54FB9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65004588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7209B76E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5825A85D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181E29AC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7CD18B73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150BDF89">
      <w:pPr>
        <w:ind w:firstLine="880" w:firstLineChars="20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 w14:paraId="16DB1DD9">
      <w:pPr>
        <w:ind w:firstLine="880" w:firstLineChars="20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 w14:paraId="3A2E2191">
      <w:pPr>
        <w:ind w:firstLine="880" w:firstLineChars="200"/>
        <w:jc w:val="center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 w14:paraId="5465A9C0">
      <w:pPr>
        <w:ind w:firstLine="720" w:firstLineChars="200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单位名称：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val="en-US" w:eastAsia="zh-CN"/>
        </w:rPr>
        <w:t>湘潭市工业贸易中等专业学校</w:t>
      </w:r>
    </w:p>
    <w:p w14:paraId="3C5A47C6">
      <w:pPr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 w14:paraId="6877A68B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9BF804D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F481567">
      <w:pPr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21F32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5990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16726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5D7E2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部门概况</w:t>
      </w:r>
    </w:p>
    <w:p w14:paraId="4B72D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部门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基本情况</w:t>
      </w:r>
    </w:p>
    <w:p w14:paraId="0AEEC425">
      <w:pPr>
        <w:pStyle w:val="5"/>
        <w:spacing w:before="0" w:beforeAutospacing="0" w:after="2" w:afterAutospacing="0"/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1、机构设置：</w:t>
      </w:r>
    </w:p>
    <w:p w14:paraId="4AACFFC1">
      <w:pPr>
        <w:pStyle w:val="5"/>
        <w:spacing w:before="0" w:beforeAutospacing="0" w:after="2" w:afterAutospacing="0"/>
        <w:ind w:firstLine="64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湘潭市工业贸易中等专业学校内设科室15个，分别为：党政办、教务科、总务科、宣传科、学生科、保卫科、团委、招生就业科、纪检监察室、培训鉴定科、工会、督导室、文旅幼教部、机械电气部、艺体财贸部。</w:t>
      </w:r>
    </w:p>
    <w:p w14:paraId="08D45A26">
      <w:pPr>
        <w:pStyle w:val="5"/>
        <w:spacing w:before="0" w:beforeAutospacing="0" w:after="2" w:afterAutospacing="0"/>
        <w:ind w:firstLine="480" w:firstLineChars="200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2、 职能职责：</w:t>
      </w:r>
    </w:p>
    <w:p w14:paraId="5D408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（1）全面贯彻落实党的教育方针,为社会培训和输送各类中级专业高素质与高技能人才，深化校企协同育人，共筑人才培养高地。</w:t>
      </w:r>
    </w:p>
    <w:p w14:paraId="25F82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（2）开展职业技能鉴定培训、学术交流等活动工作。</w:t>
      </w:r>
    </w:p>
    <w:p w14:paraId="139F0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（3）推进专业教学团队建设。</w:t>
      </w:r>
    </w:p>
    <w:p w14:paraId="19DA6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（4）负责师生在校安全保卫和后勤服务工作。</w:t>
      </w:r>
    </w:p>
    <w:p w14:paraId="0B306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（5）完成教育行政主管部门交办的其他工作。</w:t>
      </w:r>
    </w:p>
    <w:p w14:paraId="76F94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964" w:firstLineChars="300"/>
        <w:textAlignment w:val="auto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lang w:val="en-US" w:eastAsia="zh-CN" w:bidi="ar-SA"/>
        </w:rPr>
        <w:t>3、财政部门预算批复、年中预算追加和调减情况、年度预算执行情况。</w:t>
      </w:r>
    </w:p>
    <w:p w14:paraId="6CE0E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（1）年初预算情况</w:t>
      </w:r>
    </w:p>
    <w:p w14:paraId="5C5E5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年初预算收入总数4768.84万元，其中：财政预算拨款4388.84万元，纳入财政专户管理非税收入拨款380万元。2024年度部门预算支出预算总数为4768.84万元，其中基本支出4523.54万元；项目支出245.3万元。</w:t>
      </w:r>
    </w:p>
    <w:p w14:paraId="4BB5E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（2）年中追加预算情况</w:t>
      </w:r>
    </w:p>
    <w:p w14:paraId="757B5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中追加财政预算拨款主要为楚怡改扩建资金、2024年春季、秋季学期市直中职学校免学费资金、职业（技工）院校职业教育改革试点引导资金、2024年职业院校教师素质提高计划（中职学校送培训）中央资金、市直教育专项全市初中毕业学生体育、艺术素质测试资金、中职公共课普测专项资金、中职实训基地建设专项资金、2024年体彩公益金、市直教育资金2024年度人才引进补贴等资金。</w:t>
      </w:r>
    </w:p>
    <w:p w14:paraId="55D84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（3）年度预算执行情况</w:t>
      </w:r>
    </w:p>
    <w:p w14:paraId="24823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全年预算总收入9222.9万元，其中：一般公共预算财政拨款收入8229.41万元，政府性基金预算财政拨款收入5万元，事业收入314.55万元，其他收入436.47万元，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使用非财政拨款结余和专用结余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237.47万元。全年预算总支出9222.9万元，其中：基本支出6916万元，项目支出2306.9万元。</w:t>
      </w:r>
    </w:p>
    <w:p w14:paraId="5EA3127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部门（单位）年度整体支出绩效目标</w:t>
      </w:r>
    </w:p>
    <w:p w14:paraId="0635A35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1、部门整体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绩效目标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7CCA7B68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完成新生招生任务1000人；                                                               </w:t>
      </w:r>
    </w:p>
    <w:p w14:paraId="01AC9AB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承办好市级技能竞赛，合理安排赛项活动，提升学生技能经验；                            </w:t>
      </w:r>
    </w:p>
    <w:p w14:paraId="731DD90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（3）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作为考点，做好承办各项考试的工作，合理安排人员监考。</w:t>
      </w:r>
    </w:p>
    <w:p w14:paraId="4F38F35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（4）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完成教学任务，认真贯彻教书育人的理念，全面推进职业技能培训，提高教师培训质量。</w:t>
      </w:r>
    </w:p>
    <w:p w14:paraId="1A507AB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2、2023年秋季学期市直中职学校免学费项目支出绩效目标。</w:t>
      </w:r>
    </w:p>
    <w:p w14:paraId="17AB27E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（1）改善办学条件；</w:t>
      </w:r>
    </w:p>
    <w:p w14:paraId="6D7EC04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（2）保障学校正常运转；</w:t>
      </w:r>
    </w:p>
    <w:p w14:paraId="1577C52B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3、2024年秋季学期市直中职学校免学费项目支出绩效目标。</w:t>
      </w:r>
    </w:p>
    <w:p w14:paraId="7530892D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（1）改善办学条件；</w:t>
      </w:r>
    </w:p>
    <w:p w14:paraId="326C062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（2）保障学校正常运转；</w:t>
      </w:r>
    </w:p>
    <w:p w14:paraId="636BF685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4、楚怡公办中职学校改扩建项目支出绩效目标。</w:t>
      </w:r>
    </w:p>
    <w:p w14:paraId="6CCC3B8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（1）建设楚怡公办中职学校改扩建项目，在2024年7月底完工；</w:t>
      </w:r>
    </w:p>
    <w:p w14:paraId="41F0519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（2）增加200个学位；</w:t>
      </w:r>
    </w:p>
    <w:p w14:paraId="58B6D899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（3）达到校园面积及校舍面积的中职办学条件标准</w:t>
      </w:r>
    </w:p>
    <w:p w14:paraId="70107A94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5、学生宿舍维修改造项目支出绩效目标。</w:t>
      </w:r>
    </w:p>
    <w:p w14:paraId="0374679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（1）完成学生男生宿舍的维修工程；</w:t>
      </w:r>
    </w:p>
    <w:p w14:paraId="2FC9925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（2）改善办学条件，完善基础设施建设,改善师生学习、生活环境。</w:t>
      </w:r>
    </w:p>
    <w:p w14:paraId="41DCCFB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、一般公共预算支出情况</w:t>
      </w:r>
    </w:p>
    <w:p w14:paraId="444F8CE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/>
        <w:textAlignment w:val="auto"/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（一）基本支出情况</w:t>
      </w:r>
    </w:p>
    <w:p w14:paraId="6B46FD2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/>
        <w:textAlignment w:val="auto"/>
        <w:rPr>
          <w:rFonts w:hint="eastAsia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2024年一般公共预算基本支出5974.51万元。其中工资福利支出4287.68万元，商品服务支出1251.35万元，对个人和家庭的补助支出369.93万元，资本性支出65.55万元。</w:t>
      </w:r>
    </w:p>
    <w:p w14:paraId="3D8C57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2"/>
          <w:sz w:val="32"/>
          <w:szCs w:val="32"/>
          <w:lang w:val="en-US" w:eastAsia="zh-CN" w:bidi="ar-SA"/>
        </w:rPr>
        <w:t>部门预算中项目支出情况</w:t>
      </w:r>
    </w:p>
    <w:p w14:paraId="665A03A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2024年财政拨款一般公共预算项目支出2254.9万元，其中50万元以上的市级财政拨款资金及涉及市级财政拨款资金的有4笔。</w:t>
      </w:r>
    </w:p>
    <w:p w14:paraId="6EC5CBD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1、2023年秋季学期市直中职学校免学费资金291.62万元，其中市级资金241.16万元，省级资金50.46万元；</w:t>
      </w:r>
    </w:p>
    <w:p w14:paraId="7FDAFAA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2、2024年秋季学期市直中职学校免学费资金451.32万元；</w:t>
      </w:r>
    </w:p>
    <w:p w14:paraId="1C048D7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3、楚怡公办中职学校改扩建项目资金600万元。（楚怡专项改扩建指标下达多笔省级、市级资金，其中2024年12月下达市级财政拨款资金600万元）</w:t>
      </w:r>
    </w:p>
    <w:p w14:paraId="18CC248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4、学生宿舍维修改造项目资金57.11万元。</w:t>
      </w:r>
    </w:p>
    <w:p w14:paraId="0E0B39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（1）目标1“2023年秋季学期市直中职学校免学费资金”预算执行情况。</w:t>
      </w:r>
    </w:p>
    <w:p w14:paraId="7CB2F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2023年秋季学期市直中职学校免学费资金为上年结转资金，结转291.62万元，其中市级资金241.16万元，省级资金50.46万元，截至2024年12月底，291.62万元已使用完；</w:t>
      </w:r>
    </w:p>
    <w:p w14:paraId="251567A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目标2“2024年秋季学期市直中职学校免学费资金”预算执行情况。</w:t>
      </w:r>
    </w:p>
    <w:p w14:paraId="289255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2024年秋季学期市直中职学校免学费资金下达451.32万元，截至2024年12月底，已使用309.4万元；</w:t>
      </w:r>
    </w:p>
    <w:p w14:paraId="19EE3B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（3）目标3“楚怡公办中职学校改扩建项目资金”预算执行情况。</w:t>
      </w:r>
    </w:p>
    <w:p w14:paraId="19135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楚怡专项改扩建指标2024年下达多笔省级及市级资金，同时还有上年结转省级资金，其中2024年12月下达市级财政拨款资金600万元。截至2024年12月，楚怡改扩建项目2024年已支出1838.77万元，先支出先下达的省级资金及结转资金，此笔600万元市级资金于12月下达，使用17.16万元。</w:t>
      </w:r>
    </w:p>
    <w:p w14:paraId="29A791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（4）目标4“学生宿舍维修改造项目资金”预算执行情况。</w:t>
      </w:r>
    </w:p>
    <w:p w14:paraId="28D2C0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学生宿舍维修改造项目资金12月下达57.11万元，24年工程完工，12月未验收，25年1月验收，截至2024年12月底，已支出2.4万元用于购置宿舍维修材料。</w:t>
      </w:r>
    </w:p>
    <w:p w14:paraId="20278E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楷体_GB2312" w:cs="Times New Roman"/>
          <w:b/>
          <w:color w:val="auto"/>
          <w:kern w:val="2"/>
          <w:sz w:val="32"/>
          <w:szCs w:val="32"/>
          <w:lang w:val="en-US" w:eastAsia="zh-CN" w:bidi="ar-SA"/>
        </w:rPr>
        <w:t>政府性基金预算支出情况</w:t>
      </w:r>
    </w:p>
    <w:p w14:paraId="55ED16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（一）预算执行情况</w:t>
      </w:r>
    </w:p>
    <w:p w14:paraId="46978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下达政府性基金用于2024年中小学田径运动会场地修补及器材购置5万元，实际支出5万元。</w:t>
      </w:r>
    </w:p>
    <w:p w14:paraId="52794D1C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（二）绩效目标完成情况</w:t>
      </w:r>
    </w:p>
    <w:p w14:paraId="78EFBB9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实施期绩效目标：圆满完成2024年湘潭市中小学田径运动会，丰富学生的课余活动。</w:t>
      </w:r>
    </w:p>
    <w:p w14:paraId="017B7BE2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数量指标：举办2024年湘潭市中小学省田径运动会，已圆满举办2024年湘潭市中小学省田径运动会。</w:t>
      </w:r>
    </w:p>
    <w:p w14:paraId="2B5271F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2、质量指标：安全圆满完成2024年湘潭市中小学省田径运动会，实际已圆满完成举办2024年湘潭市中小学省田径运动会。</w:t>
      </w:r>
    </w:p>
    <w:p w14:paraId="0C6AFB3E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3、成本指标：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控制在5万元内，实际支出等于5万元；</w:t>
      </w:r>
    </w:p>
    <w:p w14:paraId="0B9E2FC7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4、社会效益指标：丰富中小学生文体生活，参与人数达500人以上，实际参与人数超过500人，达到目标；</w:t>
      </w:r>
    </w:p>
    <w:p w14:paraId="5375A3D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5、可持续影响指标：提高身体素质，形成积极向上的运动氛围，实际通过参与运动会提高了身体素质，达到目标；</w:t>
      </w:r>
    </w:p>
    <w:p w14:paraId="66999991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6、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参与活动的学生满意率90%，实际达到满意率90%。</w:t>
      </w:r>
    </w:p>
    <w:p w14:paraId="1B8337A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640" w:lef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国有资本经营预算支出情况</w:t>
      </w:r>
    </w:p>
    <w:p w14:paraId="2CBC2E28"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2024年无国有资本经营预算支出。</w:t>
      </w:r>
    </w:p>
    <w:p w14:paraId="48F57317">
      <w:pPr>
        <w:pStyle w:val="9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社会保险基金预算支出情况</w:t>
      </w:r>
    </w:p>
    <w:p w14:paraId="5F60162A">
      <w:pPr>
        <w:pStyle w:val="4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2024年无社会保险基金支出。</w:t>
      </w:r>
    </w:p>
    <w:p w14:paraId="26954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、部门整体支出绩效情况</w:t>
      </w:r>
    </w:p>
    <w:p w14:paraId="7F947FFF">
      <w:pPr>
        <w:pStyle w:val="5"/>
        <w:spacing w:before="0" w:beforeAutospacing="0" w:after="0" w:afterAutospacing="0" w:line="24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我校在市教育局的领导下，今年的绩效目标基本完成。</w:t>
      </w:r>
    </w:p>
    <w:p w14:paraId="5FE50C64"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1、技能竞赛成绩喜人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3246CBA6"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2024年技能竞赛获省赛奖项24个（一等奖5个）、烹饪团队夺得世界技能大赛铜奖。承办省级及市级技能竞赛项目12个项目，未达到承办15个赛项的绩效目标，因为部分项目取消，比赛数量有所压缩；举办技能竞赛总参赛人数312人，达到200人的绩效目标。通过技能竞赛，有效地提高了学生的专业实践能力，学生及家长满意度达到95%以上的目标。</w:t>
      </w:r>
    </w:p>
    <w:p w14:paraId="0816E369"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2、教师培训不断加强、教研成果不断涌现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2373D4D">
      <w:pPr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全年教师参加市级以上培训全覆盖，其中国培、省培、市培799人次；多名老师在市级以上教师培训、教研活动中上展示课、作专题讲座，达到国培、省培、市级、校级老师培训260人次绩效目标；教师培训成本为1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6.01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万元，在60万元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成本指标范围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内，达到绩效目标；机电专业教师团队立项省“楚怡”教师教学创新团队，严颖老师主持的会计专业名师工作室立项省“楚怡”名师工作室，吴检老师工作室被湘潭市人社局授牌“吴检技能大师工作室”。立项省级课题4个、结题3个；论文获省市级奖项24篇，知网收录6篇；教师职业能力比赛，获省赛奖项4个（一等奖1个），市赛奖项9个（一等奖5个）；黄丽老师参加全省和全国中职学校教师教学设计与展示活动，分别获一等奖和优质案例。黄丽老师获评湘潭市学科带头人，马艳美老师获评“莲城工匠”，刘琼、左钰琼、王云丽、冯娜四位老师获评湘潭市骨干教师。</w:t>
      </w:r>
    </w:p>
    <w:p w14:paraId="44C7CBFE"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3、各项考点任务圆满完成。</w:t>
      </w:r>
    </w:p>
    <w:p w14:paraId="2C758604">
      <w:pPr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承接了高考、教师资格考试、公务员考试、自学考试等各类高规格考试考点任务，学校获评湖南省中小学教师资格考试（面试）优秀考点。全年参考人数25420人，组织考试15场（次）。12月底完成所有考试，超额完成承办考试场数12场的绩效目标,超额完成全年参加考试人数15000人的绩效目标。</w:t>
      </w:r>
    </w:p>
    <w:p w14:paraId="22CD4782">
      <w:pPr>
        <w:numPr>
          <w:ilvl w:val="0"/>
          <w:numId w:val="0"/>
        </w:num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4、招生就业成效显著</w:t>
      </w:r>
    </w:p>
    <w:p w14:paraId="5CB1C3A2">
      <w:pPr>
        <w:numPr>
          <w:ilvl w:val="0"/>
          <w:numId w:val="0"/>
        </w:numPr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继续严格执行“阳光招生”，首次实施网上录取信息的填报，将我校的招生数量和质量推向新高。择优招录新生1628人，完成年度招生人数1000人的绩效目标；对口高考上线率81%，完成80%以上的绩效目标；毕业生就业质量不断提高，毕业生就业率在95%以上。</w:t>
      </w:r>
    </w:p>
    <w:p w14:paraId="7A77079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、存在的问题及原因分析</w:t>
      </w:r>
    </w:p>
    <w:p w14:paraId="78F8EB22">
      <w:pPr>
        <w:pStyle w:val="4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资金使用效益有待进一步提高，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绩效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目标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设定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有待进一步明确、细化和量化，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导致后期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绩效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评价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相对会存在一些困难。主要原因是预算绩效管理基本由财务人员进行汇总评价，各业务科室提供数据及佐证材料，以后需由业务科室进行自评更为合理。</w:t>
      </w:r>
    </w:p>
    <w:p w14:paraId="079A9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下一步改进措施</w:t>
      </w:r>
    </w:p>
    <w:p w14:paraId="6BFC2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、坚决贯彻落实过“紧日子”要求，无预算不开支，责任到科室到人，加强与各科室沟通，专项资金积极催办各科室使用。合理使用资金，优化和整合资源配置，提高资金使用效益，尽量减少不必要的开支，落实过紧日子的方针，对资金实施跟踪管理和预算控制，做到资金科学合理地安排和分配。</w:t>
      </w:r>
    </w:p>
    <w:p w14:paraId="52738CEB">
      <w:pPr>
        <w:pStyle w:val="4"/>
        <w:numPr>
          <w:ilvl w:val="0"/>
          <w:numId w:val="0"/>
        </w:numPr>
        <w:ind w:firstLine="475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2、强化预算绩效理念，加强人员培训。由总务科牵头邀请绩效评价方面的专家对学校各科室负责人、相关业务人员及财务人员进行预算绩效管理工作方面的培训，提升预算绩效管理工作的能力。</w:t>
      </w:r>
    </w:p>
    <w:p w14:paraId="618F26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3、做好信息公开工作。充分认识当前推进信息公开工作的重要性和紧迫性，认真做好预算信息公开工作。按照财政部相关文件要求，按时完成本单位预算绩效评价工作，做好本单位预决算等信息的公开。</w:t>
      </w:r>
    </w:p>
    <w:p w14:paraId="568CE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、绩效自评结果拟应用和公开情况</w:t>
      </w:r>
    </w:p>
    <w:p w14:paraId="5F0672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本年度绩效自评结果严格按照相关规定执行应用与公开。本单位将此次自评结果作为优化资源配置、改进工作流程的重要依据，对存在问题的项目及时调整实施方案。同时按照“谁评价、谁公开”的原则，将我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绩效评价结果自评报告随2024年决算在湘潭市财政预决算公开平台、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学校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门户网站同步公开，主动接受社会监督，切实提升财政资金使用透明度。</w:t>
      </w:r>
    </w:p>
    <w:p w14:paraId="05876BAA">
      <w:pPr>
        <w:pStyle w:val="2"/>
        <w:numPr>
          <w:ilvl w:val="0"/>
          <w:numId w:val="0"/>
        </w:numPr>
        <w:rPr>
          <w:rFonts w:hint="default" w:eastAsia="宋体"/>
          <w:lang w:val="en-US" w:eastAsia="zh-CN"/>
        </w:rPr>
      </w:pPr>
    </w:p>
    <w:p w14:paraId="1DE77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十、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其他需要说明的情况</w:t>
      </w:r>
    </w:p>
    <w:p w14:paraId="0C5A6250">
      <w:pPr>
        <w:jc w:val="both"/>
        <w:rPr>
          <w:rFonts w:hint="default" w:ascii="方正小标宋_GBK" w:eastAsia="方正小标宋_GBK" w:cs="方正小标宋_GBK"/>
          <w:bCs/>
          <w:sz w:val="36"/>
          <w:szCs w:val="36"/>
          <w:lang w:val="en-US" w:eastAsia="zh-CN"/>
        </w:rPr>
      </w:pPr>
      <w:r>
        <w:rPr>
          <w:rFonts w:hint="eastAsia" w:ascii="方正小标宋_GBK" w:eastAsia="方正小标宋_GBK" w:cs="方正小标宋_GBK"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无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6C4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82E41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582E41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BAC873"/>
    <w:multiLevelType w:val="singleLevel"/>
    <w:tmpl w:val="CBBAC87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FF77FA"/>
    <w:multiLevelType w:val="singleLevel"/>
    <w:tmpl w:val="E1FF77FA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0DED1AB"/>
    <w:multiLevelType w:val="singleLevel"/>
    <w:tmpl w:val="50DED1A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6527E"/>
    <w:rsid w:val="00AA0437"/>
    <w:rsid w:val="0236335D"/>
    <w:rsid w:val="03A5079A"/>
    <w:rsid w:val="044E2BE0"/>
    <w:rsid w:val="050B17DB"/>
    <w:rsid w:val="057D2E8A"/>
    <w:rsid w:val="07B2792A"/>
    <w:rsid w:val="084D3C6E"/>
    <w:rsid w:val="09AB63DF"/>
    <w:rsid w:val="0AED4AF2"/>
    <w:rsid w:val="0B073AE9"/>
    <w:rsid w:val="0C801DA5"/>
    <w:rsid w:val="0E412962"/>
    <w:rsid w:val="0E816213"/>
    <w:rsid w:val="0F735BF1"/>
    <w:rsid w:val="106F600E"/>
    <w:rsid w:val="11C12C43"/>
    <w:rsid w:val="137F31E9"/>
    <w:rsid w:val="14261483"/>
    <w:rsid w:val="14445DAD"/>
    <w:rsid w:val="15672512"/>
    <w:rsid w:val="16C3120C"/>
    <w:rsid w:val="173B30AD"/>
    <w:rsid w:val="173D7210"/>
    <w:rsid w:val="17CA65CA"/>
    <w:rsid w:val="17D47448"/>
    <w:rsid w:val="1A4062D0"/>
    <w:rsid w:val="1AEB32C4"/>
    <w:rsid w:val="1AF916A0"/>
    <w:rsid w:val="1D9926BC"/>
    <w:rsid w:val="21AF7468"/>
    <w:rsid w:val="23C875E5"/>
    <w:rsid w:val="26712A32"/>
    <w:rsid w:val="27181100"/>
    <w:rsid w:val="29B0515D"/>
    <w:rsid w:val="29DB4666"/>
    <w:rsid w:val="3116527E"/>
    <w:rsid w:val="33130ECB"/>
    <w:rsid w:val="363B357D"/>
    <w:rsid w:val="3724764D"/>
    <w:rsid w:val="37C8447C"/>
    <w:rsid w:val="3810197F"/>
    <w:rsid w:val="381C14F9"/>
    <w:rsid w:val="3861062B"/>
    <w:rsid w:val="39CC6340"/>
    <w:rsid w:val="39FD5F33"/>
    <w:rsid w:val="3B255E69"/>
    <w:rsid w:val="3C163B20"/>
    <w:rsid w:val="3CF44B74"/>
    <w:rsid w:val="407B5B50"/>
    <w:rsid w:val="40CE4185"/>
    <w:rsid w:val="430C7C4A"/>
    <w:rsid w:val="476A2E5A"/>
    <w:rsid w:val="477C63DB"/>
    <w:rsid w:val="48233009"/>
    <w:rsid w:val="48597DF7"/>
    <w:rsid w:val="49D567B9"/>
    <w:rsid w:val="4B6B71A0"/>
    <w:rsid w:val="4CCA0089"/>
    <w:rsid w:val="4E4A7B4B"/>
    <w:rsid w:val="4F161B19"/>
    <w:rsid w:val="4F9677EF"/>
    <w:rsid w:val="50DA26DE"/>
    <w:rsid w:val="521C2FA3"/>
    <w:rsid w:val="522B287D"/>
    <w:rsid w:val="5245699D"/>
    <w:rsid w:val="52C86D6D"/>
    <w:rsid w:val="52E977E7"/>
    <w:rsid w:val="543D235E"/>
    <w:rsid w:val="54695C17"/>
    <w:rsid w:val="56374A61"/>
    <w:rsid w:val="568B6949"/>
    <w:rsid w:val="57601B83"/>
    <w:rsid w:val="57C71C02"/>
    <w:rsid w:val="57D165DD"/>
    <w:rsid w:val="57FE314A"/>
    <w:rsid w:val="5A094754"/>
    <w:rsid w:val="5A820063"/>
    <w:rsid w:val="5BBB2261"/>
    <w:rsid w:val="5C563555"/>
    <w:rsid w:val="5D325D70"/>
    <w:rsid w:val="5DA12EF6"/>
    <w:rsid w:val="5DFB2606"/>
    <w:rsid w:val="5F577D10"/>
    <w:rsid w:val="60C010B7"/>
    <w:rsid w:val="60EA53FD"/>
    <w:rsid w:val="629D3C5C"/>
    <w:rsid w:val="64853D7A"/>
    <w:rsid w:val="6532302B"/>
    <w:rsid w:val="65722DBC"/>
    <w:rsid w:val="660E09B2"/>
    <w:rsid w:val="66236B9E"/>
    <w:rsid w:val="6692162D"/>
    <w:rsid w:val="66AC6B93"/>
    <w:rsid w:val="683A1F7D"/>
    <w:rsid w:val="69A973BA"/>
    <w:rsid w:val="6B9A75DB"/>
    <w:rsid w:val="6C361FA3"/>
    <w:rsid w:val="6CDE55CC"/>
    <w:rsid w:val="6D0A1128"/>
    <w:rsid w:val="6EB66F84"/>
    <w:rsid w:val="6ED4109B"/>
    <w:rsid w:val="6EFB3C5D"/>
    <w:rsid w:val="71C437F7"/>
    <w:rsid w:val="71FB452B"/>
    <w:rsid w:val="72B648F6"/>
    <w:rsid w:val="7476258E"/>
    <w:rsid w:val="74B310ED"/>
    <w:rsid w:val="7543382E"/>
    <w:rsid w:val="75C94940"/>
    <w:rsid w:val="76573A6D"/>
    <w:rsid w:val="768F6393"/>
    <w:rsid w:val="773A78A3"/>
    <w:rsid w:val="7946222B"/>
    <w:rsid w:val="79713DD5"/>
    <w:rsid w:val="7C916E1E"/>
    <w:rsid w:val="7C9218D6"/>
    <w:rsid w:val="7C9D3D77"/>
    <w:rsid w:val="7D965A4F"/>
    <w:rsid w:val="7DF47BAF"/>
    <w:rsid w:val="7E1626EC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table of authorities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3700</Words>
  <Characters>4050</Characters>
  <Lines>0</Lines>
  <Paragraphs>0</Paragraphs>
  <TotalTime>11</TotalTime>
  <ScaleCrop>false</ScaleCrop>
  <LinksUpToDate>false</LinksUpToDate>
  <CharactersWithSpaces>4150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2025-04-24T03:35:00Z</dcterms:created>
  <dc:creator>jane嘉</dc:creator>
  <cp:lastModifiedBy>jane嘉</cp:lastModifiedBy>
  <cp:lastPrinted>2025-04-29T08:59:07Z</cp:lastPrinted>
  <dcterms:modified xsi:type="dcterms:W3CDTF">2025-04-29T09:06:43Z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683C1F8E5DA24A75B08051DE1ED0E067_11</vt:lpwstr>
  </property>
  <property fmtid="{D5CDD505-2E9C-101B-9397-08002B2CF9AE}" pid="4" name="KSOTemplateDocerSaveRecord">
    <vt:lpwstr>eyJoZGlkIjoiY2ZmNTM4ZjcxNmJlN2I1ZmNlNTIyMGRkZjAyNzJkNDUiLCJ1c2VySWQiOiI1MTUwNTY3OTEifQ==</vt:lpwstr>
  </property>
</Properties>
</file>